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75" w:type="dxa"/>
        <w:tblCellMar>
          <w:left w:w="0" w:type="dxa"/>
          <w:right w:w="0" w:type="dxa"/>
        </w:tblCellMar>
        <w:tblLook w:val="04A0"/>
      </w:tblPr>
      <w:tblGrid>
        <w:gridCol w:w="8606"/>
      </w:tblGrid>
      <w:tr w:rsidR="00FD7225" w:rsidRPr="00FD7225">
        <w:trPr>
          <w:tblCellSpacing w:w="75" w:type="dxa"/>
          <w:jc w:val="center"/>
        </w:trPr>
        <w:tc>
          <w:tcPr>
            <w:tcW w:w="0" w:type="auto"/>
            <w:vAlign w:val="center"/>
            <w:hideMark/>
          </w:tcPr>
          <w:p w:rsidR="00FD7225" w:rsidRPr="00FD7225" w:rsidRDefault="00FD7225" w:rsidP="00FD7225">
            <w:pPr>
              <w:widowControl/>
              <w:spacing w:before="100" w:beforeAutospacing="1" w:after="100" w:afterAutospacing="1" w:line="360" w:lineRule="atLeast"/>
              <w:jc w:val="center"/>
              <w:outlineLvl w:val="0"/>
              <w:rPr>
                <w:rFonts w:ascii="Arial" w:eastAsia="宋体" w:hAnsi="Arial" w:cs="Arial"/>
                <w:b/>
                <w:bCs/>
                <w:color w:val="FE7E10"/>
                <w:kern w:val="36"/>
                <w:sz w:val="27"/>
                <w:szCs w:val="27"/>
              </w:rPr>
            </w:pPr>
            <w:r w:rsidRPr="00FD7225">
              <w:rPr>
                <w:rFonts w:ascii="Arial" w:eastAsia="宋体" w:hAnsi="Arial" w:cs="Arial"/>
                <w:b/>
                <w:bCs/>
                <w:color w:val="FE7E10"/>
                <w:kern w:val="36"/>
                <w:sz w:val="27"/>
                <w:szCs w:val="27"/>
              </w:rPr>
              <w:t>2017</w:t>
            </w:r>
            <w:r w:rsidRPr="00FD7225">
              <w:rPr>
                <w:rFonts w:ascii="Arial" w:eastAsia="宋体" w:hAnsi="Arial" w:cs="Arial"/>
                <w:b/>
                <w:bCs/>
                <w:color w:val="FE7E10"/>
                <w:kern w:val="36"/>
                <w:sz w:val="27"/>
                <w:szCs w:val="27"/>
              </w:rPr>
              <w:t>年机器人应用技术竞赛规程</w:t>
            </w:r>
          </w:p>
          <w:p w:rsidR="00FD7225" w:rsidRPr="00FD7225" w:rsidRDefault="00FD7225" w:rsidP="00FD7225">
            <w:pPr>
              <w:widowControl/>
              <w:spacing w:line="360" w:lineRule="atLeast"/>
              <w:jc w:val="center"/>
              <w:rPr>
                <w:rFonts w:ascii="Arial" w:eastAsia="宋体" w:hAnsi="Arial" w:cs="Arial"/>
                <w:color w:val="000000"/>
                <w:kern w:val="0"/>
                <w:sz w:val="18"/>
                <w:szCs w:val="18"/>
              </w:rPr>
            </w:pPr>
            <w:r w:rsidRPr="00FD7225">
              <w:rPr>
                <w:rFonts w:ascii="Arial" w:eastAsia="宋体" w:hAnsi="Arial" w:cs="Arial"/>
                <w:color w:val="000000"/>
                <w:kern w:val="0"/>
                <w:szCs w:val="21"/>
              </w:rPr>
              <w:t>阜阳市中职大赛阜阳职业技术学院赛点</w:t>
            </w:r>
            <w:r w:rsidRPr="00FD7225">
              <w:rPr>
                <w:rFonts w:ascii="Arial" w:eastAsia="宋体" w:hAnsi="Arial" w:cs="Arial"/>
                <w:color w:val="000000"/>
                <w:kern w:val="0"/>
                <w:sz w:val="18"/>
                <w:szCs w:val="18"/>
              </w:rPr>
              <w:t xml:space="preserve"> </w:t>
            </w:r>
          </w:p>
        </w:tc>
      </w:tr>
      <w:tr w:rsidR="00FD7225" w:rsidRPr="00FD7225">
        <w:trPr>
          <w:tblCellSpacing w:w="75" w:type="dxa"/>
          <w:jc w:val="center"/>
        </w:trPr>
        <w:tc>
          <w:tcPr>
            <w:tcW w:w="0" w:type="auto"/>
            <w:vAlign w:val="center"/>
            <w:hideMark/>
          </w:tcPr>
          <w:p w:rsidR="00FD7225" w:rsidRPr="00FD7225" w:rsidRDefault="00FD7225" w:rsidP="00FD7225">
            <w:pPr>
              <w:widowControl/>
              <w:spacing w:line="360" w:lineRule="atLeast"/>
              <w:jc w:val="center"/>
              <w:rPr>
                <w:rFonts w:ascii="Arial" w:eastAsia="宋体" w:hAnsi="Arial" w:cs="Arial"/>
                <w:color w:val="000000"/>
                <w:kern w:val="0"/>
                <w:sz w:val="18"/>
                <w:szCs w:val="18"/>
              </w:rPr>
            </w:pPr>
          </w:p>
        </w:tc>
      </w:tr>
      <w:tr w:rsidR="00FD7225" w:rsidRPr="00FD7225">
        <w:trPr>
          <w:trHeight w:val="6000"/>
          <w:tblCellSpacing w:w="75" w:type="dxa"/>
          <w:jc w:val="center"/>
        </w:trPr>
        <w:tc>
          <w:tcPr>
            <w:tcW w:w="0" w:type="auto"/>
            <w:hideMark/>
          </w:tcPr>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一、竞赛项目名称</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仿宋" w:cs="宋体" w:hint="eastAsia"/>
                <w:color w:val="000000"/>
                <w:kern w:val="0"/>
                <w:sz w:val="28"/>
                <w:szCs w:val="28"/>
              </w:rPr>
              <w:t>工业机器人技术应用</w:t>
            </w:r>
          </w:p>
          <w:p w:rsidR="00FD7225" w:rsidRPr="00FD7225" w:rsidRDefault="00FD7225" w:rsidP="00FD7225">
            <w:pPr>
              <w:widowControl/>
              <w:spacing w:line="460" w:lineRule="exact"/>
              <w:ind w:firstLineChars="200" w:firstLine="562"/>
              <w:jc w:val="left"/>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二、竞赛目的</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仿宋" w:cs="宋体" w:hint="eastAsia"/>
                <w:color w:val="000000"/>
                <w:kern w:val="0"/>
                <w:sz w:val="28"/>
                <w:szCs w:val="28"/>
              </w:rPr>
              <w:t>近年来，随着我国制造业产业结构升级要求进一步提高生产效率、人口老龄化带来的劳动力资源稀缺等各方面因素使得工业机器人技术得到了大力发展。工业机器人作为一种新型劳动力，正悄然改变着制造业的用工模式，以人为主的生产模式正逐渐向以机器人为主的模式转变，工业机器人已经成为当今炙手可热的人才培养方向。</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仿宋" w:cs="宋体" w:hint="eastAsia"/>
                <w:color w:val="000000"/>
                <w:kern w:val="0"/>
                <w:sz w:val="28"/>
                <w:szCs w:val="28"/>
              </w:rPr>
              <w:t>通过此项比赛，考核选手工业机器人的装配能力和电气连接与精度检验等核心技术技能，同时可考核参赛选手工作效率、质量意识、安全意识、节能环保意识和规范操作等职业素养等。</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仿宋" w:cs="宋体" w:hint="eastAsia"/>
                <w:color w:val="000000"/>
                <w:kern w:val="0"/>
                <w:sz w:val="28"/>
                <w:szCs w:val="28"/>
              </w:rPr>
              <w:t xml:space="preserve">通过竞赛引领学校与企业、课程设置与职业岗位的深度衔接，以工业作业型机器人为载体瞄准制造业前沿技术，促进中职院校机电相关专业服务产业发展能力的提升，为机器人领域发展提供人才储备与支撑，促进工学结合人才培养和课程的改革与创新；促进工业机器人应用技术的普及。 </w:t>
            </w:r>
          </w:p>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三、竞赛方式与内容</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（一）竞赛方式</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宋体" w:cs="Times New Roman" w:hint="eastAsia"/>
                <w:color w:val="000000"/>
                <w:sz w:val="28"/>
                <w:szCs w:val="28"/>
              </w:rPr>
              <w:t>竞赛采取团体参赛方式</w:t>
            </w:r>
            <w:r w:rsidRPr="00FD7225">
              <w:rPr>
                <w:rFonts w:ascii="仿宋_GB2312" w:eastAsia="仿宋_GB2312" w:hAnsi="Times New Roman" w:cs="Times New Roman" w:hint="eastAsia"/>
                <w:color w:val="000000"/>
                <w:sz w:val="28"/>
                <w:szCs w:val="28"/>
              </w:rPr>
              <w:t xml:space="preserve"> ，参赛队在规定时间内，以现场操作的方式，根据竞赛技术文件的具体要求，按照正确的操作步骤，利用赛场提供的设备、工具和技术资料，在规定的时间内完成规定的工作任务，并正确填写比赛记录表。</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（二）竞赛内容</w:t>
            </w:r>
          </w:p>
          <w:p w:rsidR="00FD7225" w:rsidRPr="00FD7225" w:rsidRDefault="00FD7225" w:rsidP="00FD7225">
            <w:pPr>
              <w:widowControl/>
              <w:spacing w:line="460" w:lineRule="exact"/>
              <w:ind w:firstLineChars="150" w:firstLine="42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比赛内容要求：</w:t>
            </w:r>
          </w:p>
          <w:p w:rsidR="00FD7225" w:rsidRPr="00FD7225" w:rsidRDefault="00FD7225" w:rsidP="00FD7225">
            <w:pPr>
              <w:widowControl/>
              <w:spacing w:line="5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1、电气控制系统接线  参赛选手根据赛项任务书要求完成电气</w:t>
            </w:r>
            <w:r w:rsidRPr="00FD7225">
              <w:rPr>
                <w:rFonts w:ascii="仿宋_GB2312" w:eastAsia="仿宋_GB2312" w:hAnsi="Times New Roman" w:cs="Times New Roman" w:hint="eastAsia"/>
                <w:color w:val="000000"/>
                <w:sz w:val="28"/>
                <w:szCs w:val="28"/>
              </w:rPr>
              <w:lastRenderedPageBreak/>
              <w:t>控制系统中电气线路连接的任务。</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2、搬运功能调试  参赛选手根据赛项任务书中给定的搬运任务进行机器调试。</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3、机电联调  参赛选手根据赛项任务书中要求，控制机器人按指定的路线搬运完成装配工件作业。</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4、正确合理地使用各种通用工具、专用工具。</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5、选手注意安全、文明操作规范，工作现场整齐、清洁。</w:t>
            </w:r>
          </w:p>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四、竞赛规则</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w:t>
            </w:r>
            <w:r w:rsidRPr="00FD7225">
              <w:rPr>
                <w:rFonts w:ascii="仿宋_GB2312" w:eastAsia="仿宋_GB2312" w:hAnsi="宋体" w:cs="Times New Roman" w:hint="eastAsia"/>
                <w:color w:val="000000"/>
                <w:sz w:val="28"/>
                <w:szCs w:val="28"/>
              </w:rPr>
              <w:t>参赛队按照抽签确定的参赛时段进入比赛场地参赛</w:t>
            </w:r>
            <w:r w:rsidRPr="00FD7225">
              <w:rPr>
                <w:rFonts w:ascii="仿宋_GB2312" w:eastAsia="仿宋_GB2312" w:hAnsi="Times New Roman" w:cs="Times New Roman" w:hint="eastAsia"/>
                <w:color w:val="000000"/>
                <w:sz w:val="28"/>
                <w:szCs w:val="28"/>
              </w:rPr>
              <w:t>，不得自行调整,同一学校的参赛队尽量安排同一批次比赛。</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宋体" w:cs="Times New Roman" w:hint="eastAsia"/>
                <w:color w:val="000000"/>
                <w:sz w:val="28"/>
                <w:szCs w:val="28"/>
              </w:rPr>
              <w:t xml:space="preserve">2、参赛队按竞赛规定时间到达指定地点，选手凭参赛证、学生证和身份证（三证必须齐全）比赛前30分钟到赛项指定地点接受检录，进场前15分钟抽签决定赛位号，抽签结束后，参赛选手同一时间按照抽取的赛位号进入各自赛位，迟到15分钟者取消比赛资格。赛位号由参赛选手抽取， </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3、参赛选手同一时间进入赛位，在裁判长未宣布比赛开始前，参赛选手检查比赛现场条件及参赛工具等；裁判长宣布比赛开始后方可开始操作。</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4、工业机器人技术综合实训装置和竞赛所需的工具由阜阳职业技术学院统一提供，参赛选手在竞赛项目指定的比赛设备上完成比赛任务，各参赛队不得携带自备工具、资料、U盘及其它材料进入赛场。</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kern w:val="0"/>
                <w:sz w:val="28"/>
                <w:szCs w:val="28"/>
              </w:rPr>
              <w:t>5、比赛时间共3.5小时，连续进行；比赛过程中，选手休息、饮水或如厕时间均计算在比赛时间内。</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kern w:val="0"/>
                <w:sz w:val="28"/>
                <w:szCs w:val="28"/>
              </w:rPr>
              <w:t>6、参赛选手在比赛过程中可提出设备器件更换要求。更换的器件经裁判组检测后，如为非人为损坏，视现场耽误时间予以补时；如人为损坏或器件正常，每次扣3分。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kern w:val="0"/>
                <w:sz w:val="28"/>
                <w:szCs w:val="28"/>
              </w:rPr>
              <w:t xml:space="preserve">7、参赛选手须按电工职业资格安全标准的要求规范操作。 </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kern w:val="0"/>
                <w:sz w:val="28"/>
                <w:szCs w:val="28"/>
              </w:rPr>
              <w:t>8</w:t>
            </w:r>
            <w:r w:rsidRPr="00FD7225">
              <w:rPr>
                <w:rFonts w:ascii="仿宋_GB2312" w:eastAsia="仿宋_GB2312" w:hAnsi="Times New Roman" w:cs="Times New Roman" w:hint="eastAsia"/>
                <w:color w:val="000000"/>
                <w:sz w:val="28"/>
                <w:szCs w:val="28"/>
              </w:rPr>
              <w:t>、比赛过程中，须严格遵守相关操作规程，确保设备及人身安全，并接受裁判员的监督和警示；若因选手个人因素造成设备故障或</w:t>
            </w:r>
            <w:r w:rsidRPr="00FD7225">
              <w:rPr>
                <w:rFonts w:ascii="仿宋_GB2312" w:eastAsia="仿宋_GB2312" w:hAnsi="Times New Roman" w:cs="Times New Roman" w:hint="eastAsia"/>
                <w:color w:val="000000"/>
                <w:sz w:val="28"/>
                <w:szCs w:val="28"/>
              </w:rPr>
              <w:lastRenderedPageBreak/>
              <w:t>产生重大安全隐患，裁判长有权决定终止比赛。若因设备因素造成竞赛无法继续进行，由裁判长视具体情况做出裁决（暂停比赛计时或调整至最后一批次重新比赛）。</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9、比赛结束前10分钟，裁判长提醒比赛即将结束；在裁判长宣布本场比赛结束前应清理好现场（如将所用工具放在适当的位置、切断电源等），否则扣5分职业素养分；当裁判长宣布本场比赛结束后，全体比赛选手立即停止不得再进行任何操作，由裁判员记录比赛结束时间和操作结果及收缴比赛记录表，选手签字确认；比赛时间到而未停止操作者将被酌情扣5</w:t>
            </w:r>
            <w:r w:rsidRPr="00FD7225">
              <w:rPr>
                <w:rFonts w:ascii="宋体" w:eastAsia="宋体" w:hAnsi="宋体" w:cs="宋体" w:hint="eastAsia"/>
                <w:color w:val="000000"/>
                <w:sz w:val="28"/>
                <w:szCs w:val="28"/>
              </w:rPr>
              <w:t>~</w:t>
            </w:r>
            <w:r w:rsidRPr="00FD7225">
              <w:rPr>
                <w:rFonts w:ascii="仿宋_GB2312" w:eastAsia="仿宋_GB2312" w:hAnsi="Times New Roman" w:cs="Times New Roman" w:hint="eastAsia"/>
                <w:color w:val="000000"/>
                <w:sz w:val="28"/>
                <w:szCs w:val="28"/>
              </w:rPr>
              <w:t>10分；参赛队经裁判员同意后方可离开赛场。</w:t>
            </w:r>
          </w:p>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五、竞赛场地与设施</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（一）竞赛时间和地点</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1.竞赛时间：2017年1月7-8日</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2.竞赛地点：阜阳职业技术学院</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（二）</w:t>
            </w:r>
            <w:r w:rsidRPr="00FD7225">
              <w:rPr>
                <w:rFonts w:ascii="仿宋_GB2312" w:eastAsia="仿宋_GB2312" w:hAnsi="宋体" w:cs="宋体" w:hint="eastAsia"/>
                <w:color w:val="000000"/>
                <w:kern w:val="0"/>
                <w:sz w:val="28"/>
                <w:szCs w:val="28"/>
              </w:rPr>
              <w:t>竞赛设施</w:t>
            </w:r>
          </w:p>
          <w:p w:rsidR="00FD7225" w:rsidRPr="00FD7225" w:rsidRDefault="00FD7225" w:rsidP="00FD7225">
            <w:pPr>
              <w:widowControl/>
              <w:spacing w:line="5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28"/>
                <w:szCs w:val="28"/>
              </w:rPr>
              <w:t>每个参赛队统一使用江苏汇博机器人技术有限公司RBT-6T/S01DM多控制模块化可拆装串联机器人综合实训平台。</w:t>
            </w:r>
          </w:p>
          <w:p w:rsidR="00FD7225" w:rsidRPr="00FD7225" w:rsidRDefault="00FD7225" w:rsidP="00FD7225">
            <w:pPr>
              <w:widowControl/>
              <w:spacing w:line="560" w:lineRule="exact"/>
              <w:ind w:firstLineChars="200" w:firstLine="480"/>
              <w:jc w:val="center"/>
              <w:rPr>
                <w:rFonts w:ascii="宋体" w:eastAsia="宋体" w:hAnsi="宋体" w:cs="宋体"/>
                <w:color w:val="000000"/>
                <w:kern w:val="0"/>
                <w:sz w:val="24"/>
                <w:szCs w:val="24"/>
              </w:rPr>
            </w:pPr>
            <w:r w:rsidRPr="00FD7225">
              <w:rPr>
                <w:rFonts w:ascii="仿宋_GB2312" w:eastAsia="仿宋_GB2312" w:hAnsi="仿宋" w:cs="Times New Roman" w:hint="eastAsia"/>
                <w:color w:val="000000"/>
                <w:sz w:val="24"/>
                <w:szCs w:val="24"/>
              </w:rPr>
              <w:t>表1 RBT-6T/S01DM模块化串联机器人技术参数</w:t>
            </w:r>
          </w:p>
          <w:tbl>
            <w:tblPr>
              <w:tblW w:w="8522" w:type="dxa"/>
              <w:jc w:val="center"/>
              <w:tblLook w:val="04A0"/>
            </w:tblPr>
            <w:tblGrid>
              <w:gridCol w:w="2093"/>
              <w:gridCol w:w="2551"/>
              <w:gridCol w:w="3878"/>
            </w:tblGrid>
            <w:tr w:rsidR="00FD7225" w:rsidRPr="00FD7225">
              <w:trPr>
                <w:trHeight w:val="276"/>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模块数量</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6</w:t>
                  </w:r>
                </w:p>
              </w:tc>
            </w:tr>
            <w:tr w:rsidR="00FD7225" w:rsidRPr="00FD7225">
              <w:trPr>
                <w:trHeight w:val="480"/>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标准配置组合自由度数</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6-DOF</w:t>
                  </w:r>
                </w:p>
              </w:tc>
            </w:tr>
            <w:tr w:rsidR="00FD7225" w:rsidRPr="00FD7225">
              <w:trPr>
                <w:trHeight w:val="394"/>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驱动方式</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步进电机、伺服电机混合驱动</w:t>
                  </w:r>
                </w:p>
              </w:tc>
            </w:tr>
            <w:tr w:rsidR="00FD7225" w:rsidRPr="00FD7225">
              <w:trPr>
                <w:trHeight w:val="276"/>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负载</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0.5kg</w:t>
                  </w:r>
                </w:p>
              </w:tc>
            </w:tr>
            <w:tr w:rsidR="00FD7225" w:rsidRPr="00FD7225">
              <w:trPr>
                <w:trHeight w:val="528"/>
                <w:jc w:val="center"/>
              </w:trPr>
              <w:tc>
                <w:tcPr>
                  <w:tcW w:w="209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最大动作范围</w:t>
                  </w: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1关节模块旋转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-90°～+90°</w:t>
                  </w:r>
                </w:p>
              </w:tc>
            </w:tr>
            <w:tr w:rsidR="00FD7225" w:rsidRPr="00FD7225">
              <w:trPr>
                <w:trHeight w:val="528"/>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-45°～+45°</w:t>
                  </w:r>
                </w:p>
              </w:tc>
            </w:tr>
            <w:tr w:rsidR="00FD7225" w:rsidRPr="00FD7225">
              <w:trPr>
                <w:trHeight w:val="528"/>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3关节模块回转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-45°～+45°</w:t>
                  </w:r>
                </w:p>
              </w:tc>
            </w:tr>
            <w:tr w:rsidR="00FD7225" w:rsidRPr="00FD7225">
              <w:trPr>
                <w:trHeight w:val="528"/>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4关节模块旋转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-90°～ +90°</w:t>
                  </w:r>
                </w:p>
              </w:tc>
            </w:tr>
            <w:tr w:rsidR="00FD7225" w:rsidRPr="00FD7225">
              <w:trPr>
                <w:trHeight w:val="528"/>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5关节模块回转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-45°～+45°</w:t>
                  </w:r>
                </w:p>
              </w:tc>
            </w:tr>
            <w:tr w:rsidR="00FD7225" w:rsidRPr="00FD7225">
              <w:trPr>
                <w:trHeight w:val="528"/>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6关节模块旋转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-180°～+180°</w:t>
                  </w:r>
                </w:p>
              </w:tc>
            </w:tr>
            <w:tr w:rsidR="00FD7225" w:rsidRPr="00FD7225">
              <w:trPr>
                <w:trHeight w:val="504"/>
                <w:jc w:val="center"/>
              </w:trPr>
              <w:tc>
                <w:tcPr>
                  <w:tcW w:w="209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lastRenderedPageBreak/>
                    <w:t>最大速度</w:t>
                  </w: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1关节模块旋转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30°/S</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30°/S</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3关节模块回转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30°/S</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4关节模块旋转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20°/S</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5关节模块回转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20°/S</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6关节模块旋转</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20°/S</w:t>
                  </w:r>
                </w:p>
              </w:tc>
            </w:tr>
            <w:tr w:rsidR="00FD7225" w:rsidRPr="00FD7225">
              <w:trPr>
                <w:trHeight w:val="276"/>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本体重量</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≤10kg</w:t>
                  </w:r>
                </w:p>
              </w:tc>
            </w:tr>
            <w:tr w:rsidR="00FD7225" w:rsidRPr="00FD7225">
              <w:trPr>
                <w:trHeight w:val="276"/>
                <w:jc w:val="center"/>
              </w:trPr>
              <w:tc>
                <w:tcPr>
                  <w:tcW w:w="2093"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安装环境</w:t>
                  </w: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温度</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0～45℃</w:t>
                  </w:r>
                </w:p>
              </w:tc>
            </w:tr>
            <w:tr w:rsidR="00FD7225" w:rsidRPr="00FD7225">
              <w:trPr>
                <w:trHeight w:val="504"/>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湿度</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20～80%不结露</w:t>
                  </w:r>
                </w:p>
              </w:tc>
            </w:tr>
            <w:tr w:rsidR="00FD7225" w:rsidRPr="00FD7225">
              <w:trPr>
                <w:trHeight w:val="276"/>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振动</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0.5G以下</w:t>
                  </w:r>
                </w:p>
              </w:tc>
            </w:tr>
            <w:tr w:rsidR="00FD7225" w:rsidRPr="00FD7225">
              <w:trPr>
                <w:trHeight w:val="912"/>
                <w:jc w:val="center"/>
              </w:trPr>
              <w:tc>
                <w:tcPr>
                  <w:tcW w:w="0" w:type="auto"/>
                  <w:vMerge/>
                  <w:tcBorders>
                    <w:top w:val="nil"/>
                    <w:left w:val="single" w:sz="4" w:space="0" w:color="000000"/>
                    <w:bottom w:val="single" w:sz="4" w:space="0" w:color="000000"/>
                    <w:right w:val="single" w:sz="4" w:space="0" w:color="000000"/>
                  </w:tcBorders>
                  <w:vAlign w:val="center"/>
                  <w:hideMark/>
                </w:tcPr>
                <w:p w:rsidR="00FD7225" w:rsidRPr="00FD7225" w:rsidRDefault="00FD7225" w:rsidP="00FD7225">
                  <w:pPr>
                    <w:widowControl/>
                    <w:jc w:val="left"/>
                    <w:rPr>
                      <w:rFonts w:ascii="宋体" w:eastAsia="宋体" w:hAnsi="宋体" w:cs="宋体"/>
                      <w:color w:val="000000"/>
                      <w:kern w:val="0"/>
                      <w:sz w:val="24"/>
                      <w:szCs w:val="24"/>
                    </w:rPr>
                  </w:pPr>
                </w:p>
              </w:tc>
              <w:tc>
                <w:tcPr>
                  <w:tcW w:w="2551"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其它</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left"/>
                    <w:rPr>
                      <w:rFonts w:ascii="宋体" w:eastAsia="宋体" w:hAnsi="宋体" w:cs="宋体"/>
                      <w:color w:val="000000"/>
                      <w:kern w:val="0"/>
                      <w:sz w:val="24"/>
                      <w:szCs w:val="24"/>
                    </w:rPr>
                  </w:pPr>
                  <w:r w:rsidRPr="00FD7225">
                    <w:rPr>
                      <w:rFonts w:ascii="宋体" w:eastAsia="宋体" w:hAnsi="宋体" w:cs="宋体" w:hint="eastAsia"/>
                      <w:color w:val="000000"/>
                      <w:kern w:val="0"/>
                      <w:szCs w:val="21"/>
                    </w:rPr>
                    <w:t>•避免易燃、腐蚀性气体、液体。</w:t>
                  </w:r>
                </w:p>
                <w:p w:rsidR="00FD7225" w:rsidRPr="00FD7225" w:rsidRDefault="00FD7225" w:rsidP="00FD7225">
                  <w:pPr>
                    <w:widowControl/>
                    <w:spacing w:line="320" w:lineRule="exact"/>
                    <w:jc w:val="left"/>
                    <w:rPr>
                      <w:rFonts w:ascii="宋体" w:eastAsia="宋体" w:hAnsi="宋体" w:cs="宋体"/>
                      <w:color w:val="000000"/>
                      <w:kern w:val="0"/>
                      <w:sz w:val="24"/>
                      <w:szCs w:val="24"/>
                    </w:rPr>
                  </w:pPr>
                  <w:r w:rsidRPr="00FD7225">
                    <w:rPr>
                      <w:rFonts w:ascii="宋体" w:eastAsia="宋体" w:hAnsi="宋体" w:cs="宋体" w:hint="eastAsia"/>
                      <w:color w:val="000000"/>
                      <w:kern w:val="0"/>
                      <w:szCs w:val="21"/>
                    </w:rPr>
                    <w:t>•勿溅水、油、粉尘等。</w:t>
                  </w:r>
                </w:p>
                <w:p w:rsidR="00FD7225" w:rsidRPr="00FD7225" w:rsidRDefault="00FD7225" w:rsidP="00FD7225">
                  <w:pPr>
                    <w:widowControl/>
                    <w:spacing w:line="320" w:lineRule="exact"/>
                    <w:jc w:val="left"/>
                    <w:rPr>
                      <w:rFonts w:ascii="宋体" w:eastAsia="宋体" w:hAnsi="宋体" w:cs="宋体"/>
                      <w:color w:val="000000"/>
                      <w:kern w:val="0"/>
                      <w:sz w:val="24"/>
                      <w:szCs w:val="24"/>
                    </w:rPr>
                  </w:pPr>
                  <w:r w:rsidRPr="00FD7225">
                    <w:rPr>
                      <w:rFonts w:ascii="宋体" w:eastAsia="宋体" w:hAnsi="宋体" w:cs="宋体" w:hint="eastAsia"/>
                      <w:color w:val="000000"/>
                      <w:kern w:val="0"/>
                      <w:szCs w:val="21"/>
                    </w:rPr>
                    <w:t>•勿接近电器噪声源。</w:t>
                  </w:r>
                </w:p>
              </w:tc>
            </w:tr>
            <w:tr w:rsidR="00FD7225" w:rsidRPr="00FD7225">
              <w:trPr>
                <w:trHeight w:val="332"/>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末端工具</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气动手爪</w:t>
                  </w:r>
                </w:p>
              </w:tc>
            </w:tr>
            <w:tr w:rsidR="00FD7225" w:rsidRPr="00FD7225">
              <w:trPr>
                <w:trHeight w:val="276"/>
                <w:jc w:val="center"/>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电源容量</w:t>
                  </w:r>
                </w:p>
              </w:tc>
              <w:tc>
                <w:tcPr>
                  <w:tcW w:w="3878" w:type="dxa"/>
                  <w:tcBorders>
                    <w:top w:val="single" w:sz="4" w:space="0" w:color="000000"/>
                    <w:left w:val="nil"/>
                    <w:bottom w:val="single" w:sz="4" w:space="0" w:color="000000"/>
                    <w:right w:val="single" w:sz="4" w:space="0" w:color="000000"/>
                  </w:tcBorders>
                  <w:shd w:val="clear" w:color="auto" w:fill="FFFFFF"/>
                  <w:vAlign w:val="center"/>
                  <w:hideMark/>
                </w:tcPr>
                <w:p w:rsidR="00FD7225" w:rsidRPr="00FD7225" w:rsidRDefault="00FD7225" w:rsidP="00FD7225">
                  <w:pPr>
                    <w:widowControl/>
                    <w:spacing w:line="320" w:lineRule="exact"/>
                    <w:jc w:val="center"/>
                    <w:rPr>
                      <w:rFonts w:ascii="宋体" w:eastAsia="宋体" w:hAnsi="宋体" w:cs="宋体"/>
                      <w:color w:val="000000"/>
                      <w:kern w:val="0"/>
                      <w:sz w:val="24"/>
                      <w:szCs w:val="24"/>
                    </w:rPr>
                  </w:pPr>
                  <w:r w:rsidRPr="00FD7225">
                    <w:rPr>
                      <w:rFonts w:ascii="宋体" w:eastAsia="宋体" w:hAnsi="宋体" w:cs="宋体" w:hint="eastAsia"/>
                      <w:color w:val="000000"/>
                      <w:kern w:val="0"/>
                      <w:szCs w:val="21"/>
                    </w:rPr>
                    <w:t>1KVA</w:t>
                  </w:r>
                </w:p>
              </w:tc>
            </w:tr>
          </w:tbl>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（三）安全保障</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1.参赛选手除应遵守本安全规程外，还应遵守电工、装配钳工的安全规程。</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2.为保证比赛安全，参赛选手须按职业规范统一着装。女选手严禁穿高跟鞋进入比赛场地，并须戴工作帽并盘发于工作帽里。</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3.正确使用各种安装工具、量具，防止使用不当造成工具损坏和防止碰摔事故的发生。</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4.在机器人通电前，必须确保电路接线的正确，防止出现电源接反或者短路情况。</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5.机器人在工作中发生异常故障现象时应立即停机。</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lastRenderedPageBreak/>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600"/>
              <w:jc w:val="left"/>
              <w:outlineLvl w:val="1"/>
              <w:rPr>
                <w:rFonts w:ascii="宋体" w:eastAsia="宋体" w:hAnsi="宋体" w:cs="宋体"/>
                <w:color w:val="000000"/>
                <w:kern w:val="0"/>
                <w:sz w:val="24"/>
                <w:szCs w:val="24"/>
              </w:rPr>
            </w:pPr>
            <w:r w:rsidRPr="00FD7225">
              <w:rPr>
                <w:rFonts w:ascii="Times New Roman" w:eastAsia="仿宋_GB2312" w:hAnsi="Times New Roman" w:cs="Times New Roman" w:hint="eastAsia"/>
                <w:color w:val="FF0000"/>
                <w:sz w:val="30"/>
                <w:szCs w:val="30"/>
              </w:rPr>
              <w:t xml:space="preserve"> </w:t>
            </w:r>
          </w:p>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六、竞赛成绩评定与奖项设置</w:t>
            </w:r>
          </w:p>
          <w:p w:rsidR="00FD7225" w:rsidRPr="00FD7225" w:rsidRDefault="00FD7225" w:rsidP="00FD7225">
            <w:pPr>
              <w:widowControl/>
              <w:spacing w:line="460" w:lineRule="exact"/>
              <w:ind w:firstLineChars="150" w:firstLine="42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（一）评分标准的制定原则</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1.机器人竞赛平台符合：</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教学仪器设备国家标准：GB21746-2008、GB21748-2008标准；</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GB/T 16977-2005 工业机器人坐标系和运动命名原则；</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GB/T 19399-2003 工业机器人编程和操作图形用户接口；</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GB/T 20867-2007 工业机器人安全实施规范；</w:t>
            </w:r>
          </w:p>
          <w:p w:rsidR="00FD7225" w:rsidRPr="00FD7225" w:rsidRDefault="00FD7225" w:rsidP="00FD7225">
            <w:pPr>
              <w:widowControl/>
              <w:spacing w:line="48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2.职业素养评分标准</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（1）敬业爱岗，忠于职守，严于律已；</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（2）刻苦学习，钻研业务，善于观察，勤于思考；</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（3）认真负责，吃苦耐劳；</w:t>
            </w:r>
          </w:p>
          <w:p w:rsidR="00FD7225" w:rsidRPr="00FD7225" w:rsidRDefault="00FD7225" w:rsidP="00FD7225">
            <w:pPr>
              <w:widowControl/>
              <w:spacing w:line="56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（4）遵守操作规程，安全、文明生产；</w:t>
            </w:r>
          </w:p>
          <w:p w:rsidR="00FD7225" w:rsidRPr="00FD7225" w:rsidRDefault="00FD7225" w:rsidP="00FD7225">
            <w:pPr>
              <w:widowControl/>
              <w:spacing w:line="480" w:lineRule="exact"/>
              <w:ind w:firstLineChars="200" w:firstLine="600"/>
              <w:jc w:val="left"/>
              <w:rPr>
                <w:rFonts w:ascii="宋体" w:eastAsia="宋体" w:hAnsi="宋体" w:cs="宋体"/>
                <w:color w:val="000000"/>
                <w:kern w:val="0"/>
                <w:sz w:val="24"/>
                <w:szCs w:val="24"/>
              </w:rPr>
            </w:pPr>
            <w:r w:rsidRPr="00FD7225">
              <w:rPr>
                <w:rFonts w:ascii="仿宋_GB2312" w:eastAsia="仿宋_GB2312" w:hAnsi="仿宋" w:cs="Times New Roman" w:hint="eastAsia"/>
                <w:color w:val="000000"/>
                <w:sz w:val="30"/>
                <w:szCs w:val="30"/>
              </w:rPr>
              <w:t>（5）着装规范整洁，爱护设备，保持工作环境清洁有序。</w:t>
            </w:r>
          </w:p>
          <w:p w:rsidR="00FD7225" w:rsidRPr="00FD7225" w:rsidRDefault="00FD7225" w:rsidP="00FD7225">
            <w:pPr>
              <w:widowControl/>
              <w:spacing w:line="460" w:lineRule="exact"/>
              <w:ind w:firstLineChars="150" w:firstLine="42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（二）评分方法</w:t>
            </w:r>
          </w:p>
          <w:p w:rsidR="00FD7225" w:rsidRPr="00FD7225" w:rsidRDefault="00FD7225" w:rsidP="00FD7225">
            <w:pPr>
              <w:widowControl/>
              <w:spacing w:line="48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1.竞赛项目满分为100分。其中硬件部分：电气控制系统接线30分；搬运功能调试10分；机电联调，运行任务功能实现40分；合理利用各种工具10分；职业素养10分。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2.在比赛过程中，因操作不当破坏赛场提供的设备，视情节扣2-10分。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3.出现污染赛场环境，工具摆放不整齐等不符合职业规范的行为，视情节扣3-6分。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4. 在竞赛过程中，因操作不当导致人身或设备安全事故，扣20</w:t>
            </w:r>
            <w:r w:rsidRPr="00FD7225">
              <w:rPr>
                <w:rFonts w:ascii="仿宋_GB2312" w:eastAsia="仿宋_GB2312" w:hAnsi="Times New Roman" w:cs="Times New Roman" w:hint="eastAsia"/>
                <w:color w:val="000000"/>
                <w:sz w:val="28"/>
                <w:szCs w:val="28"/>
              </w:rPr>
              <w:lastRenderedPageBreak/>
              <w:t>分，情况严重者取消比赛资格。</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5.安全文明生产，遵守电气安装操作规程，保持场地整洁有序，注意操作安全，正确使用工具，工具的摆放与清洁。</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6.在竞赛时段，参赛选手有不服从裁判及扰乱赛场秩序等行为情节严重的，取消参赛队综合奖评奖资格。有作弊行为的，将被酌情扣5</w:t>
            </w:r>
            <w:r w:rsidRPr="00FD7225">
              <w:rPr>
                <w:rFonts w:ascii="宋体" w:eastAsia="宋体" w:hAnsi="宋体" w:cs="宋体" w:hint="eastAsia"/>
                <w:color w:val="000000"/>
                <w:sz w:val="28"/>
                <w:szCs w:val="28"/>
              </w:rPr>
              <w:t>~</w:t>
            </w:r>
            <w:r w:rsidRPr="00FD7225">
              <w:rPr>
                <w:rFonts w:ascii="Times New Roman" w:eastAsia="仿宋_GB2312" w:hAnsi="Times New Roman" w:cs="Times New Roman" w:hint="eastAsia"/>
                <w:color w:val="000000"/>
                <w:sz w:val="28"/>
                <w:szCs w:val="28"/>
              </w:rPr>
              <w:t>10</w:t>
            </w:r>
            <w:r w:rsidRPr="00FD7225">
              <w:rPr>
                <w:rFonts w:ascii="Times New Roman" w:eastAsia="仿宋_GB2312" w:hAnsi="Times New Roman" w:cs="Times New Roman" w:hint="eastAsia"/>
                <w:color w:val="000000"/>
                <w:sz w:val="28"/>
                <w:szCs w:val="28"/>
              </w:rPr>
              <w:t>分，并警告，警告无效取消参赛队综合奖评奖资格。裁判宣布竞赛时间到，选手仍强行操作的，将被酌情扣</w:t>
            </w:r>
            <w:r w:rsidRPr="00FD7225">
              <w:rPr>
                <w:rFonts w:ascii="Times New Roman" w:eastAsia="仿宋_GB2312" w:hAnsi="Times New Roman" w:cs="Times New Roman" w:hint="eastAsia"/>
                <w:color w:val="000000"/>
                <w:sz w:val="28"/>
                <w:szCs w:val="28"/>
              </w:rPr>
              <w:t>5</w:t>
            </w:r>
            <w:r w:rsidRPr="00FD7225">
              <w:rPr>
                <w:rFonts w:ascii="宋体" w:eastAsia="宋体" w:hAnsi="宋体" w:cs="宋体" w:hint="eastAsia"/>
                <w:color w:val="000000"/>
                <w:sz w:val="28"/>
                <w:szCs w:val="28"/>
              </w:rPr>
              <w:t>~</w:t>
            </w:r>
            <w:r w:rsidRPr="00FD7225">
              <w:rPr>
                <w:rFonts w:ascii="仿宋_GB2312" w:eastAsia="仿宋_GB2312" w:hAnsi="Times New Roman" w:cs="Times New Roman" w:hint="eastAsia"/>
                <w:color w:val="000000"/>
                <w:sz w:val="28"/>
                <w:szCs w:val="28"/>
              </w:rPr>
              <w:t>10分，并警告，警告无效取消参赛队奖项评比资格。</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（四）名次排定</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按参赛队所得到的竞赛最终成绩从高分到低分排列参赛队的名次。竞赛成绩相同时，完成工作任务所用时间少的名次在前；竞赛成绩和完成工作任务用时均相同时，职业素养项的成绩高的名次在前。</w:t>
            </w:r>
          </w:p>
          <w:p w:rsidR="00FD7225" w:rsidRPr="00FD7225" w:rsidRDefault="00FD7225" w:rsidP="00FD7225">
            <w:pPr>
              <w:widowControl/>
              <w:spacing w:line="460" w:lineRule="exact"/>
              <w:ind w:firstLineChars="200" w:firstLine="562"/>
              <w:jc w:val="left"/>
              <w:outlineLvl w:val="1"/>
              <w:rPr>
                <w:rFonts w:ascii="宋体" w:eastAsia="宋体" w:hAnsi="宋体" w:cs="宋体"/>
                <w:color w:val="000000"/>
                <w:kern w:val="0"/>
                <w:sz w:val="24"/>
                <w:szCs w:val="24"/>
              </w:rPr>
            </w:pPr>
            <w:r w:rsidRPr="00FD7225">
              <w:rPr>
                <w:rFonts w:ascii="仿宋_GB2312" w:eastAsia="仿宋_GB2312" w:hAnsi="Times New Roman" w:cs="Times New Roman" w:hint="eastAsia"/>
                <w:b/>
                <w:bCs/>
                <w:color w:val="000000"/>
                <w:sz w:val="28"/>
                <w:szCs w:val="28"/>
              </w:rPr>
              <w:t>七、申诉与仲裁</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（一）申诉</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1、参赛队对不符合竞赛规定的设备和备件，有失公正的检测、评判、奖励，以及对工作和裁判人员的违规行为等，可提出申诉。</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2、申诉时，应递交由参赛队领队亲笔签字的书面报告。报告应对申诉事件的现象、发生的时间、涉及的人员、申诉依据与理由等进行充分、实事求是的叙述。事实依据不充分、仅凭主观臆断的申诉不予受理。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3、申诉时效：申诉必须于本场竞赛结束后1小时内提出，超过时效将不予受理。</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4、申诉处理：赛场专设仲裁工作组受理申诉，收到申诉报告之后，根据申诉事由进行审查，6小时内书面通知申诉方，告知申诉处理结果。申诉人不得无故拒不接受处理结果，不允许采取过激行为刁难、攻击工作人员，否则视为放弃申诉。</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（二）仲裁</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t>1、仲裁委员会负责受理大赛中出现的所有申诉并进行仲裁，以保证竞赛的顺利进行和竞赛结果公平、公正。</w:t>
            </w:r>
          </w:p>
          <w:p w:rsidR="00FD7225" w:rsidRPr="00FD7225" w:rsidRDefault="00FD7225" w:rsidP="00FD7225">
            <w:pPr>
              <w:widowControl/>
              <w:spacing w:line="460" w:lineRule="exact"/>
              <w:ind w:firstLineChars="200" w:firstLine="560"/>
              <w:jc w:val="left"/>
              <w:rPr>
                <w:rFonts w:ascii="宋体" w:eastAsia="宋体" w:hAnsi="宋体" w:cs="宋体"/>
                <w:color w:val="000000"/>
                <w:kern w:val="0"/>
                <w:sz w:val="24"/>
                <w:szCs w:val="24"/>
              </w:rPr>
            </w:pPr>
            <w:r w:rsidRPr="00FD7225">
              <w:rPr>
                <w:rFonts w:ascii="仿宋_GB2312" w:eastAsia="仿宋_GB2312" w:hAnsi="Times New Roman" w:cs="Times New Roman" w:hint="eastAsia"/>
                <w:color w:val="000000"/>
                <w:sz w:val="28"/>
                <w:szCs w:val="28"/>
              </w:rPr>
              <w:lastRenderedPageBreak/>
              <w:t>2、仲裁委员会的裁决为最终裁决，参赛队不得因申诉或对处理意见不服而滋事，否则按弃权处理。</w:t>
            </w:r>
          </w:p>
          <w:p w:rsidR="00FD7225" w:rsidRPr="00FD7225" w:rsidRDefault="00FD7225" w:rsidP="00FD7225">
            <w:pPr>
              <w:widowControl/>
              <w:spacing w:line="360" w:lineRule="atLeast"/>
              <w:jc w:val="left"/>
              <w:rPr>
                <w:rFonts w:ascii="宋体" w:eastAsia="宋体" w:hAnsi="宋体" w:cs="宋体"/>
                <w:color w:val="000000"/>
                <w:kern w:val="0"/>
                <w:sz w:val="24"/>
                <w:szCs w:val="24"/>
              </w:rPr>
            </w:pPr>
            <w:r w:rsidRPr="00FD7225">
              <w:rPr>
                <w:rFonts w:ascii="Times New Roman" w:eastAsia="宋体" w:hAnsi="Times New Roman" w:cs="Times New Roman"/>
                <w:color w:val="000000"/>
                <w:szCs w:val="21"/>
              </w:rPr>
              <w:t xml:space="preserve"> </w:t>
            </w:r>
          </w:p>
        </w:tc>
      </w:tr>
    </w:tbl>
    <w:p w:rsidR="00B407DD" w:rsidRPr="00FD7225" w:rsidRDefault="00B407DD"/>
    <w:sectPr w:rsidR="00B407DD" w:rsidRPr="00FD7225" w:rsidSect="00B407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225"/>
    <w:rsid w:val="00AD394B"/>
    <w:rsid w:val="00AE7D0D"/>
    <w:rsid w:val="00B407DD"/>
    <w:rsid w:val="00FD7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DD"/>
    <w:pPr>
      <w:widowControl w:val="0"/>
      <w:jc w:val="both"/>
    </w:pPr>
  </w:style>
  <w:style w:type="paragraph" w:styleId="1">
    <w:name w:val="heading 1"/>
    <w:basedOn w:val="a"/>
    <w:link w:val="1Char"/>
    <w:uiPriority w:val="9"/>
    <w:qFormat/>
    <w:rsid w:val="00FD7225"/>
    <w:pPr>
      <w:widowControl/>
      <w:spacing w:before="100" w:beforeAutospacing="1" w:after="100" w:afterAutospacing="1"/>
      <w:jc w:val="left"/>
      <w:outlineLvl w:val="0"/>
    </w:pPr>
    <w:rPr>
      <w:rFonts w:ascii="Arial" w:eastAsia="宋体" w:hAnsi="Arial" w:cs="Arial"/>
      <w:b/>
      <w:bCs/>
      <w:color w:val="FE7E1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225"/>
    <w:rPr>
      <w:rFonts w:ascii="Arial" w:eastAsia="宋体" w:hAnsi="Arial" w:cs="Arial"/>
      <w:b/>
      <w:bCs/>
      <w:color w:val="FE7E10"/>
      <w:kern w:val="36"/>
      <w:sz w:val="27"/>
      <w:szCs w:val="27"/>
    </w:rPr>
  </w:style>
  <w:style w:type="character" w:styleId="a3">
    <w:name w:val="Hyperlink"/>
    <w:basedOn w:val="a0"/>
    <w:uiPriority w:val="99"/>
    <w:semiHidden/>
    <w:unhideWhenUsed/>
    <w:rsid w:val="00FD7225"/>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2989</Characters>
  <Application>Microsoft Office Word</Application>
  <DocSecurity>0</DocSecurity>
  <Lines>24</Lines>
  <Paragraphs>7</Paragraphs>
  <ScaleCrop>false</ScaleCrop>
  <Company>CHINA</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2016-12-28T11:49:00Z</dcterms:created>
  <dcterms:modified xsi:type="dcterms:W3CDTF">2016-12-28T11:49:00Z</dcterms:modified>
</cp:coreProperties>
</file>